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河北省省直机关第四幼儿园改扩建项目重点绩效评价情况表</w:t>
      </w:r>
    </w:p>
    <w:tbl>
      <w:tblPr>
        <w:tblStyle w:val="10"/>
        <w:tblW w:w="5320" w:type="pct"/>
        <w:tblInd w:w="-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782"/>
        <w:gridCol w:w="1044"/>
        <w:gridCol w:w="664"/>
        <w:gridCol w:w="606"/>
        <w:gridCol w:w="3802"/>
        <w:gridCol w:w="1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5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0F0F0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t>一级指标</w:t>
            </w:r>
          </w:p>
        </w:tc>
        <w:tc>
          <w:tcPr>
            <w:tcW w:w="40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0F0F0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二级指标</w:t>
            </w:r>
          </w:p>
        </w:tc>
        <w:tc>
          <w:tcPr>
            <w:tcW w:w="53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0F0F0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三级指标</w:t>
            </w:r>
          </w:p>
        </w:tc>
        <w:tc>
          <w:tcPr>
            <w:tcW w:w="34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0F0F0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满分</w:t>
            </w:r>
          </w:p>
        </w:tc>
        <w:tc>
          <w:tcPr>
            <w:tcW w:w="31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0F0F0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得分</w:t>
            </w:r>
          </w:p>
        </w:tc>
        <w:tc>
          <w:tcPr>
            <w:tcW w:w="196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0F0F0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指标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t>解释</w:t>
            </w:r>
          </w:p>
        </w:tc>
        <w:tc>
          <w:tcPr>
            <w:tcW w:w="78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0F0F0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eastAsia="zh-CN"/>
              </w:rPr>
              <w:t>评分过程（填写作证依据）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650" w:type="pct"/>
            <w:vMerge w:val="restart"/>
            <w:tcBorders>
              <w:top w:val="single" w:color="333333" w:sz="6" w:space="0"/>
              <w:left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决策</w:t>
            </w:r>
          </w:p>
        </w:tc>
        <w:tc>
          <w:tcPr>
            <w:tcW w:w="404" w:type="pct"/>
            <w:vMerge w:val="restar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项目立项</w:t>
            </w:r>
          </w:p>
        </w:tc>
        <w:tc>
          <w:tcPr>
            <w:tcW w:w="53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立项依据充分性</w:t>
            </w:r>
          </w:p>
        </w:tc>
        <w:tc>
          <w:tcPr>
            <w:tcW w:w="34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1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6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项目立项是否符合国家法律法规、战略部署，省委和省政府出台的行业发展规划和相关政策要求；项目立项是否与部门职责范围相符，属于部门履职所需。</w:t>
            </w:r>
          </w:p>
        </w:tc>
        <w:tc>
          <w:tcPr>
            <w:tcW w:w="78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冀发改社会【2023】1822号</w:t>
            </w:r>
          </w:p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可研报告</w:t>
            </w:r>
          </w:p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冀发改投资【2024】1354号</w:t>
            </w:r>
          </w:p>
          <w:p>
            <w:pPr>
              <w:spacing w:beforeAutospacing="0" w:afterAutospacing="0" w:line="300" w:lineRule="auto"/>
              <w:ind w:right="0"/>
              <w:jc w:val="left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50" w:type="pct"/>
            <w:vMerge w:val="continue"/>
            <w:tcBorders>
              <w:left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vMerge w:val="continue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立项程序规范性</w:t>
            </w:r>
          </w:p>
        </w:tc>
        <w:tc>
          <w:tcPr>
            <w:tcW w:w="34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6</w:t>
            </w:r>
          </w:p>
        </w:tc>
        <w:tc>
          <w:tcPr>
            <w:tcW w:w="31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96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项目申请、设立过程是否符合相关要求。</w:t>
            </w:r>
          </w:p>
        </w:tc>
        <w:tc>
          <w:tcPr>
            <w:tcW w:w="151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冀发改社会【2023】1822号</w:t>
            </w:r>
          </w:p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可研报告</w:t>
            </w:r>
          </w:p>
          <w:p>
            <w:pPr>
              <w:spacing w:beforeAutospacing="0" w:afterAutospacing="0" w:line="300" w:lineRule="auto"/>
              <w:ind w:right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冀发改投资【2024】1354号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650" w:type="pct"/>
            <w:vMerge w:val="continue"/>
            <w:tcBorders>
              <w:left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04" w:type="pct"/>
            <w:vMerge w:val="restart"/>
            <w:tcBorders>
              <w:top w:val="single" w:color="333333" w:sz="6" w:space="0"/>
              <w:left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绩效目标</w:t>
            </w:r>
          </w:p>
        </w:tc>
        <w:tc>
          <w:tcPr>
            <w:tcW w:w="53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绩效目标合理性</w:t>
            </w:r>
          </w:p>
        </w:tc>
        <w:tc>
          <w:tcPr>
            <w:tcW w:w="34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1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6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项目所设定的绩效目标是否依据充分，是否符合客观实际。</w:t>
            </w:r>
          </w:p>
        </w:tc>
        <w:tc>
          <w:tcPr>
            <w:tcW w:w="78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2024年、2025年绩效目标表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50" w:type="pct"/>
            <w:vMerge w:val="continue"/>
            <w:tcBorders>
              <w:left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vMerge w:val="continue"/>
            <w:tcBorders>
              <w:left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绩效指标明确性</w:t>
            </w:r>
          </w:p>
        </w:tc>
        <w:tc>
          <w:tcPr>
            <w:tcW w:w="34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1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6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依据绩效目标设定的绩效指标是否清晰、细化、可衡量等。</w:t>
            </w:r>
          </w:p>
        </w:tc>
        <w:tc>
          <w:tcPr>
            <w:tcW w:w="78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2024年、2025年绩效目标表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650" w:type="pct"/>
            <w:vMerge w:val="continue"/>
            <w:tcBorders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tcBorders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资金投入</w:t>
            </w:r>
          </w:p>
        </w:tc>
        <w:tc>
          <w:tcPr>
            <w:tcW w:w="53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预算编制科学性</w:t>
            </w:r>
          </w:p>
        </w:tc>
        <w:tc>
          <w:tcPr>
            <w:tcW w:w="34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1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96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项目预算编制是否经过科学论证、有相应标准，资金额度与年度目标是否相适应。</w:t>
            </w:r>
          </w:p>
        </w:tc>
        <w:tc>
          <w:tcPr>
            <w:tcW w:w="78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2024年、2025年年度预算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50" w:type="pct"/>
            <w:vMerge w:val="restart"/>
            <w:tcBorders>
              <w:top w:val="single" w:color="333333" w:sz="6" w:space="0"/>
              <w:left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过程</w:t>
            </w:r>
          </w:p>
        </w:tc>
        <w:tc>
          <w:tcPr>
            <w:tcW w:w="404" w:type="pct"/>
            <w:vMerge w:val="restar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资金管理</w:t>
            </w:r>
          </w:p>
        </w:tc>
        <w:tc>
          <w:tcPr>
            <w:tcW w:w="53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预算执行率</w:t>
            </w:r>
          </w:p>
        </w:tc>
        <w:tc>
          <w:tcPr>
            <w:tcW w:w="34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1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96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预算执行率=实际支出金额/调整预算数*100%</w:t>
            </w:r>
          </w:p>
        </w:tc>
        <w:tc>
          <w:tcPr>
            <w:tcW w:w="78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2024年、2025年项目资金支付明细账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650" w:type="pct"/>
            <w:vMerge w:val="continue"/>
            <w:tcBorders>
              <w:left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vMerge w:val="continue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资金使用规范性</w:t>
            </w:r>
          </w:p>
        </w:tc>
        <w:tc>
          <w:tcPr>
            <w:tcW w:w="34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1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96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资金是否符合规定；是否存在支出依据不充分、核算不规范、不符合用途等情况。</w:t>
            </w:r>
          </w:p>
        </w:tc>
        <w:tc>
          <w:tcPr>
            <w:tcW w:w="78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2024年、2025年项目资金支付明细账、资金支付会议纪要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pct"/>
            <w:vMerge w:val="continue"/>
            <w:tcBorders>
              <w:left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vMerge w:val="restar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组织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实施</w:t>
            </w:r>
          </w:p>
        </w:tc>
        <w:tc>
          <w:tcPr>
            <w:tcW w:w="53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管理制度健全性</w:t>
            </w:r>
          </w:p>
        </w:tc>
        <w:tc>
          <w:tcPr>
            <w:tcW w:w="34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1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96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单位资金和项目管理制度是否全面、完善、合理，符合法律法规。</w:t>
            </w:r>
          </w:p>
        </w:tc>
        <w:tc>
          <w:tcPr>
            <w:tcW w:w="78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资金管理办法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pct"/>
            <w:vMerge w:val="continue"/>
            <w:tcBorders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vMerge w:val="continue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制度执行有效性</w:t>
            </w:r>
          </w:p>
        </w:tc>
        <w:tc>
          <w:tcPr>
            <w:tcW w:w="34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1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96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项目实施是否遵守法律法规和相关制度。</w:t>
            </w:r>
          </w:p>
        </w:tc>
        <w:tc>
          <w:tcPr>
            <w:tcW w:w="78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资金管理办法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pct"/>
            <w:vMerge w:val="restart"/>
            <w:tcBorders>
              <w:top w:val="single" w:color="333333" w:sz="6" w:space="0"/>
              <w:left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产出</w:t>
            </w:r>
          </w:p>
        </w:tc>
        <w:tc>
          <w:tcPr>
            <w:tcW w:w="40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产出数量</w:t>
            </w:r>
          </w:p>
        </w:tc>
        <w:tc>
          <w:tcPr>
            <w:tcW w:w="53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改扩建面积</w:t>
            </w:r>
          </w:p>
        </w:tc>
        <w:tc>
          <w:tcPr>
            <w:tcW w:w="34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1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96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改扩建项目是否按预期数量完成。</w:t>
            </w:r>
          </w:p>
        </w:tc>
        <w:tc>
          <w:tcPr>
            <w:tcW w:w="78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工程竣工验收报告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pct"/>
            <w:vMerge w:val="continue"/>
            <w:tcBorders>
              <w:left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产出质量</w:t>
            </w:r>
          </w:p>
        </w:tc>
        <w:tc>
          <w:tcPr>
            <w:tcW w:w="53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验收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合格率</w:t>
            </w:r>
          </w:p>
        </w:tc>
        <w:tc>
          <w:tcPr>
            <w:tcW w:w="34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1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96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改扩建项目工程是否验收合格</w:t>
            </w:r>
          </w:p>
        </w:tc>
        <w:tc>
          <w:tcPr>
            <w:tcW w:w="78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工程竣工验收报告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650" w:type="pct"/>
            <w:vMerge w:val="continue"/>
            <w:tcBorders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产出时效</w:t>
            </w:r>
          </w:p>
        </w:tc>
        <w:tc>
          <w:tcPr>
            <w:tcW w:w="53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项目按期完成率</w:t>
            </w:r>
          </w:p>
        </w:tc>
        <w:tc>
          <w:tcPr>
            <w:tcW w:w="34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1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96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改扩建项目是否如期完工。</w:t>
            </w:r>
          </w:p>
        </w:tc>
        <w:tc>
          <w:tcPr>
            <w:tcW w:w="78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工程竣工验收报告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650" w:type="pct"/>
            <w:vMerge w:val="restart"/>
            <w:tcBorders>
              <w:top w:val="single" w:color="333333" w:sz="6" w:space="0"/>
              <w:left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效益</w:t>
            </w:r>
          </w:p>
        </w:tc>
        <w:tc>
          <w:tcPr>
            <w:tcW w:w="40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社会效益</w:t>
            </w:r>
          </w:p>
        </w:tc>
        <w:tc>
          <w:tcPr>
            <w:tcW w:w="53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受益幼儿</w:t>
            </w:r>
          </w:p>
        </w:tc>
        <w:tc>
          <w:tcPr>
            <w:tcW w:w="34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10</w:t>
            </w:r>
          </w:p>
        </w:tc>
        <w:tc>
          <w:tcPr>
            <w:tcW w:w="31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10</w:t>
            </w:r>
          </w:p>
        </w:tc>
        <w:tc>
          <w:tcPr>
            <w:tcW w:w="196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改扩建项目完成后受益幼儿数量达90人。</w:t>
            </w:r>
          </w:p>
        </w:tc>
        <w:tc>
          <w:tcPr>
            <w:tcW w:w="78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在园幼儿人数情况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650" w:type="pct"/>
            <w:vMerge w:val="continue"/>
            <w:tcBorders>
              <w:left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vMerge w:val="restart"/>
            <w:tcBorders>
              <w:top w:val="single" w:color="333333" w:sz="6" w:space="0"/>
              <w:left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服务对象满意度</w:t>
            </w:r>
          </w:p>
        </w:tc>
        <w:tc>
          <w:tcPr>
            <w:tcW w:w="53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幼儿园教师满意度</w:t>
            </w:r>
          </w:p>
        </w:tc>
        <w:tc>
          <w:tcPr>
            <w:tcW w:w="34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1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96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通过问卷调查，获取服务对象对改扩建项目实施带来的满意程度。</w:t>
            </w:r>
          </w:p>
        </w:tc>
        <w:tc>
          <w:tcPr>
            <w:tcW w:w="78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问卷调查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650" w:type="pct"/>
            <w:vMerge w:val="continue"/>
            <w:tcBorders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vMerge w:val="continue"/>
            <w:tcBorders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幼儿家长满意度</w:t>
            </w:r>
          </w:p>
        </w:tc>
        <w:tc>
          <w:tcPr>
            <w:tcW w:w="34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1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96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通过问卷调查，获取服务对象对改扩建项目实施带来的满意程度。</w:t>
            </w:r>
          </w:p>
        </w:tc>
        <w:tc>
          <w:tcPr>
            <w:tcW w:w="78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beforeAutospacing="0" w:afterAutospacing="0" w:line="300" w:lineRule="auto"/>
              <w:ind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问卷调查</w:t>
            </w:r>
          </w:p>
        </w:tc>
      </w:tr>
    </w:tbl>
    <w:p/>
    <w:sectPr>
      <w:footerReference r:id="rId3" w:type="default"/>
      <w:pgSz w:w="11906" w:h="16838"/>
      <w:pgMar w:top="2154" w:right="1474" w:bottom="1984" w:left="1587" w:header="851" w:footer="992" w:gutter="0"/>
      <w:pgNumType w:fmt="numberInDash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s0lY7tAAAAAFAQAADwAAAAAAAAABACAAAAA4AAAAZHJzL2Rvd25yZXYueG1sUEsB&#10;AhQAFAAAAAgAh07iQGUktTAgAgAANwQAAA4AAAAAAAAAAQAgAAAAN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C018FC"/>
    <w:rsid w:val="0CD12914"/>
    <w:rsid w:val="1E333982"/>
    <w:rsid w:val="210B146D"/>
    <w:rsid w:val="407B0F62"/>
    <w:rsid w:val="50C018FC"/>
    <w:rsid w:val="57D80ECC"/>
    <w:rsid w:val="74146C7D"/>
    <w:rsid w:val="77274586"/>
    <w:rsid w:val="7BD7FB24"/>
    <w:rsid w:val="7CFBB8F7"/>
    <w:rsid w:val="8F8F243C"/>
    <w:rsid w:val="933F53CD"/>
    <w:rsid w:val="BA9F6180"/>
    <w:rsid w:val="BB370F68"/>
    <w:rsid w:val="BF7AD739"/>
    <w:rsid w:val="DFDCA6F9"/>
    <w:rsid w:val="F7FF32A6"/>
    <w:rsid w:val="FFDE2BF4"/>
    <w:rsid w:val="FFF9F3EC"/>
    <w:rsid w:val="FFFE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6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7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spacing w:before="260"/>
      <w:ind w:firstLine="420" w:firstLineChars="100"/>
    </w:pPr>
    <w:rPr>
      <w:szCs w:val="20"/>
    </w:rPr>
  </w:style>
  <w:style w:type="paragraph" w:styleId="3">
    <w:name w:val="Body Text"/>
    <w:basedOn w:val="1"/>
    <w:next w:val="4"/>
    <w:qFormat/>
    <w:uiPriority w:val="99"/>
    <w:rPr>
      <w:rFonts w:ascii="Times New Roman" w:hAnsi="Times New Roman"/>
      <w:kern w:val="0"/>
      <w:sz w:val="28"/>
      <w:szCs w:val="20"/>
    </w:rPr>
  </w:style>
  <w:style w:type="paragraph" w:customStyle="1" w:styleId="4">
    <w:name w:val="_Style 2"/>
    <w:basedOn w:val="1"/>
    <w:qFormat/>
    <w:uiPriority w:val="0"/>
    <w:pPr>
      <w:ind w:firstLine="420" w:firstLine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801</Words>
  <Characters>867</Characters>
  <Lines>0</Lines>
  <Paragraphs>0</Paragraphs>
  <TotalTime>4</TotalTime>
  <ScaleCrop>false</ScaleCrop>
  <LinksUpToDate>false</LinksUpToDate>
  <CharactersWithSpaces>867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2026-06-27T18:21:00Z</dcterms:created>
  <dc:creator>矢车菊</dc:creator>
  <cp:lastModifiedBy>test</cp:lastModifiedBy>
  <cp:lastPrinted>2026-07-14T23:09:00Z</cp:lastPrinted>
  <dcterms:modified xsi:type="dcterms:W3CDTF">2026-07-23T17:08:07Z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C72B40C33DE042F884A0C1A86BE96B46_13</vt:lpwstr>
  </property>
  <property fmtid="{D5CDD505-2E9C-101B-9397-08002B2CF9AE}" pid="4" name="KSOTemplateDocerSaveRecord">
    <vt:lpwstr>eyJoZGlkIjoiNzUzNTFlOGZjZDk5ZjhmMzY5Yjc1NDVhMTlhZTdjZDUiLCJ1c2VySWQiOiI1MjExODE5MjEifQ==</vt:lpwstr>
  </property>
</Properties>
</file>